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EBF4" w14:textId="77777777" w:rsidR="0056254E" w:rsidRDefault="0056254E" w:rsidP="00A45EDF">
      <w:pPr>
        <w:jc w:val="center"/>
        <w:rPr>
          <w:b/>
          <w:color w:val="4967AA"/>
          <w:sz w:val="28"/>
          <w:szCs w:val="28"/>
          <w:lang w:val="en-US"/>
        </w:rPr>
      </w:pPr>
      <w:r>
        <w:rPr>
          <w:b/>
          <w:color w:val="4967AA"/>
          <w:sz w:val="28"/>
          <w:szCs w:val="28"/>
          <w:lang w:val="en-US"/>
        </w:rPr>
        <w:t>MSc in Economics and Finance:</w:t>
      </w:r>
    </w:p>
    <w:p w14:paraId="2029E397" w14:textId="2D9B8992" w:rsidR="00856844" w:rsidRPr="00E22235" w:rsidRDefault="0056254E" w:rsidP="00A45EDF">
      <w:pPr>
        <w:jc w:val="center"/>
        <w:rPr>
          <w:b/>
          <w:color w:val="4967AA"/>
          <w:sz w:val="28"/>
          <w:szCs w:val="28"/>
          <w:lang w:val="en-US"/>
        </w:rPr>
      </w:pPr>
      <w:r>
        <w:rPr>
          <w:b/>
          <w:color w:val="4967AA"/>
          <w:sz w:val="28"/>
          <w:szCs w:val="28"/>
          <w:lang w:val="en-US"/>
        </w:rPr>
        <w:t xml:space="preserve">Advanced Economics and Finance / </w:t>
      </w:r>
      <w:r w:rsidR="00E22235" w:rsidRPr="00E22235">
        <w:rPr>
          <w:b/>
          <w:color w:val="4967AA"/>
          <w:sz w:val="28"/>
          <w:szCs w:val="28"/>
          <w:lang w:val="en-US"/>
        </w:rPr>
        <w:t>A</w:t>
      </w:r>
      <w:r w:rsidR="00D934B6">
        <w:rPr>
          <w:b/>
          <w:color w:val="4967AA"/>
          <w:sz w:val="28"/>
          <w:szCs w:val="28"/>
          <w:lang w:val="en-US"/>
        </w:rPr>
        <w:t>pplied</w:t>
      </w:r>
      <w:r w:rsidR="00E22235" w:rsidRPr="00E22235">
        <w:rPr>
          <w:b/>
          <w:color w:val="4967AA"/>
          <w:sz w:val="28"/>
          <w:szCs w:val="28"/>
          <w:lang w:val="en-US"/>
        </w:rPr>
        <w:t xml:space="preserve"> Economics and Finance</w:t>
      </w:r>
    </w:p>
    <w:p w14:paraId="020CEBB4" w14:textId="77777777" w:rsidR="007A628B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44BB15AF" w14:textId="77777777" w:rsidR="00786ECE" w:rsidRDefault="00786ECE" w:rsidP="00A45EDF">
      <w:pPr>
        <w:jc w:val="center"/>
        <w:rPr>
          <w:b/>
          <w:lang w:val="en-US"/>
        </w:rPr>
      </w:pPr>
    </w:p>
    <w:p w14:paraId="5A4B416F" w14:textId="77777777" w:rsidR="0056254E" w:rsidRDefault="0056254E" w:rsidP="0056254E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141A2335" w14:textId="77777777" w:rsidR="0056254E" w:rsidRPr="0061037D" w:rsidRDefault="0056254E" w:rsidP="0056254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49C5609A" w14:textId="77777777" w:rsidR="0056254E" w:rsidRDefault="0056254E" w:rsidP="0056254E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3417BE33" w14:textId="77777777" w:rsidR="0056254E" w:rsidRPr="0061037D" w:rsidRDefault="0056254E" w:rsidP="0056254E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0DE88498" w14:textId="77777777" w:rsidR="0056254E" w:rsidRPr="0061037D" w:rsidRDefault="0056254E" w:rsidP="0056254E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2C337B6F" w14:textId="77777777" w:rsidR="0056254E" w:rsidRDefault="0056254E" w:rsidP="0056254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6004A3BC" w14:textId="7C1FEBA7" w:rsidR="003223A3" w:rsidRPr="0056254E" w:rsidRDefault="0056254E" w:rsidP="003223A3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2D0A5E41" w14:textId="77777777" w:rsidR="00570E07" w:rsidRDefault="00570E07" w:rsidP="003223A3">
      <w:pPr>
        <w:rPr>
          <w:lang w:val="en-US"/>
        </w:rPr>
      </w:pPr>
    </w:p>
    <w:p w14:paraId="01CEC03B" w14:textId="77777777" w:rsidR="00570E07" w:rsidRPr="00570E07" w:rsidRDefault="00570E07" w:rsidP="00570E07">
      <w:pPr>
        <w:jc w:val="center"/>
        <w:rPr>
          <w:b/>
          <w:i/>
          <w:lang w:val="en-US"/>
        </w:rPr>
      </w:pPr>
      <w:r w:rsidRPr="00570E07">
        <w:rPr>
          <w:b/>
          <w:i/>
          <w:lang w:val="en-US"/>
        </w:rPr>
        <w:t>Example of how to fill out the self-assessment form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2263"/>
        <w:gridCol w:w="2835"/>
        <w:gridCol w:w="2607"/>
        <w:gridCol w:w="2241"/>
      </w:tblGrid>
      <w:tr w:rsidR="00570E07" w14:paraId="604F5680" w14:textId="77777777" w:rsidTr="00A76868">
        <w:trPr>
          <w:trHeight w:val="649"/>
        </w:trPr>
        <w:tc>
          <w:tcPr>
            <w:tcW w:w="2263" w:type="dxa"/>
          </w:tcPr>
          <w:p w14:paraId="0E3E7F46" w14:textId="77777777" w:rsidR="0056254E" w:rsidRDefault="0056254E" w:rsidP="00A76868">
            <w:pPr>
              <w:jc w:val="center"/>
              <w:rPr>
                <w:b/>
                <w:lang w:val="en-US"/>
              </w:rPr>
            </w:pPr>
          </w:p>
          <w:p w14:paraId="73B13806" w14:textId="33DBB1BD" w:rsidR="00570E07" w:rsidRDefault="00D934B6" w:rsidP="00A7686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570E07">
              <w:rPr>
                <w:b/>
                <w:lang w:val="en-US"/>
              </w:rPr>
              <w:t xml:space="preserve"> ENTRY </w:t>
            </w:r>
            <w:r w:rsidR="00570E07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835" w:type="dxa"/>
          </w:tcPr>
          <w:p w14:paraId="058A7064" w14:textId="77777777" w:rsidR="0056254E" w:rsidRDefault="0056254E" w:rsidP="00A76868">
            <w:pPr>
              <w:jc w:val="center"/>
              <w:rPr>
                <w:b/>
                <w:lang w:val="en-US"/>
              </w:rPr>
            </w:pPr>
          </w:p>
          <w:p w14:paraId="70BF3EE8" w14:textId="51E2D176" w:rsidR="00570E07" w:rsidRDefault="0056254E" w:rsidP="00A7686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607" w:type="dxa"/>
          </w:tcPr>
          <w:p w14:paraId="0273D3DB" w14:textId="77777777" w:rsidR="0056254E" w:rsidRDefault="0056254E" w:rsidP="00A76868">
            <w:pPr>
              <w:jc w:val="center"/>
              <w:rPr>
                <w:b/>
                <w:lang w:val="en-US"/>
              </w:rPr>
            </w:pPr>
          </w:p>
          <w:p w14:paraId="198301A5" w14:textId="77777777" w:rsidR="00570E07" w:rsidRDefault="0056254E" w:rsidP="00A7686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  <w:p w14:paraId="73DD3D71" w14:textId="2B9807E6" w:rsidR="0056254E" w:rsidRDefault="0056254E" w:rsidP="00A7686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1" w:type="dxa"/>
          </w:tcPr>
          <w:p w14:paraId="2DF53AC0" w14:textId="77777777" w:rsidR="0056254E" w:rsidRDefault="0056254E" w:rsidP="0056254E">
            <w:pPr>
              <w:jc w:val="center"/>
              <w:rPr>
                <w:b/>
                <w:lang w:val="en-US"/>
              </w:rPr>
            </w:pPr>
          </w:p>
          <w:p w14:paraId="6DEFB10C" w14:textId="2B065B9C" w:rsidR="0056254E" w:rsidRDefault="0056254E" w:rsidP="005625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393C7B34" w14:textId="77777777" w:rsidR="00570E07" w:rsidRDefault="00570E07" w:rsidP="00A76868">
            <w:pPr>
              <w:rPr>
                <w:b/>
                <w:lang w:val="en-US"/>
              </w:rPr>
            </w:pPr>
          </w:p>
        </w:tc>
      </w:tr>
      <w:tr w:rsidR="00570E07" w:rsidRPr="004E468D" w14:paraId="232B78AB" w14:textId="77777777" w:rsidTr="00A76868">
        <w:trPr>
          <w:trHeight w:val="657"/>
        </w:trPr>
        <w:tc>
          <w:tcPr>
            <w:tcW w:w="2263" w:type="dxa"/>
          </w:tcPr>
          <w:p w14:paraId="5EB659D2" w14:textId="77777777" w:rsidR="00570E07" w:rsidRPr="005A5FA7" w:rsidRDefault="00570E07" w:rsidP="00A76868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5A5FA7">
              <w:rPr>
                <w:b/>
                <w:i/>
                <w:color w:val="4967AA"/>
                <w:lang w:val="en-US"/>
              </w:rPr>
              <w:t>Marketing (5 ECTS-points)</w:t>
            </w:r>
            <w:r w:rsidRPr="005A5FA7">
              <w:rPr>
                <w:b/>
                <w:i/>
                <w:color w:val="4967AA"/>
                <w:lang w:val="en-US"/>
              </w:rPr>
              <w:br/>
            </w:r>
          </w:p>
        </w:tc>
        <w:tc>
          <w:tcPr>
            <w:tcW w:w="2835" w:type="dxa"/>
          </w:tcPr>
          <w:p w14:paraId="14A0A7A8" w14:textId="77777777" w:rsidR="00570E07" w:rsidRPr="005A5FA7" w:rsidRDefault="00570E07" w:rsidP="00A76868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5A5FA7">
              <w:rPr>
                <w:b/>
                <w:i/>
                <w:color w:val="4967AA"/>
                <w:lang w:val="en-US"/>
              </w:rPr>
              <w:t>Marketing A (3 ECTS-points)</w:t>
            </w:r>
            <w:r w:rsidRPr="005A5FA7">
              <w:rPr>
                <w:b/>
                <w:i/>
                <w:color w:val="4967AA"/>
                <w:lang w:val="en-US"/>
              </w:rPr>
              <w:br/>
              <w:t>Marketing B (3 ECTS-points)</w:t>
            </w:r>
          </w:p>
        </w:tc>
        <w:tc>
          <w:tcPr>
            <w:tcW w:w="2607" w:type="dxa"/>
          </w:tcPr>
          <w:p w14:paraId="724C8DC1" w14:textId="77777777" w:rsidR="00570E07" w:rsidRPr="005A5FA7" w:rsidRDefault="00570E07" w:rsidP="00A76868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5A5FA7">
              <w:rPr>
                <w:b/>
                <w:i/>
                <w:color w:val="4967AA"/>
                <w:lang w:val="en-US"/>
              </w:rPr>
              <w:t>Marketing A: current grade transcript</w:t>
            </w:r>
            <w:r w:rsidRPr="005A5FA7">
              <w:rPr>
                <w:b/>
                <w:i/>
                <w:color w:val="4967AA"/>
                <w:lang w:val="en-US"/>
              </w:rPr>
              <w:br/>
              <w:t>Marketing B: spring course registration</w:t>
            </w:r>
          </w:p>
        </w:tc>
        <w:tc>
          <w:tcPr>
            <w:tcW w:w="2241" w:type="dxa"/>
          </w:tcPr>
          <w:p w14:paraId="7DE70804" w14:textId="77777777" w:rsidR="00570E07" w:rsidRPr="005A5FA7" w:rsidRDefault="00570E07" w:rsidP="00A76868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5A5FA7">
              <w:rPr>
                <w:b/>
                <w:i/>
                <w:color w:val="4967AA"/>
                <w:lang w:val="en-US"/>
              </w:rPr>
              <w:t xml:space="preserve">Both </w:t>
            </w:r>
            <w:proofErr w:type="gramStart"/>
            <w:r w:rsidRPr="005A5FA7">
              <w:rPr>
                <w:b/>
                <w:i/>
                <w:color w:val="4967AA"/>
                <w:lang w:val="en-US"/>
              </w:rPr>
              <w:t>courses: ‘</w:t>
            </w:r>
            <w:proofErr w:type="gramEnd"/>
            <w:r w:rsidRPr="005A5FA7">
              <w:rPr>
                <w:b/>
                <w:i/>
                <w:color w:val="4967AA"/>
                <w:lang w:val="en-US"/>
              </w:rPr>
              <w:t>Course Descriptions’</w:t>
            </w:r>
          </w:p>
        </w:tc>
      </w:tr>
    </w:tbl>
    <w:p w14:paraId="55C0EB4C" w14:textId="77777777" w:rsidR="003223A3" w:rsidRDefault="003223A3" w:rsidP="003223A3">
      <w:pPr>
        <w:rPr>
          <w:lang w:val="en-US"/>
        </w:rPr>
      </w:pPr>
    </w:p>
    <w:p w14:paraId="650F9EC5" w14:textId="77777777" w:rsidR="00570E07" w:rsidRDefault="00570E07" w:rsidP="003223A3">
      <w:pPr>
        <w:rPr>
          <w:lang w:val="en-US"/>
        </w:rPr>
      </w:pPr>
    </w:p>
    <w:p w14:paraId="08EB1CC8" w14:textId="6FA054DC" w:rsidR="003223A3" w:rsidRDefault="003223A3" w:rsidP="0056254E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3EBBD822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475F6206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5" w:history="1">
        <w:r w:rsidRPr="005E3B24">
          <w:rPr>
            <w:rStyle w:val="Hyperlink"/>
            <w:i/>
            <w:lang w:val="en-US"/>
          </w:rPr>
          <w:t>Language requirement</w:t>
        </w:r>
      </w:hyperlink>
    </w:p>
    <w:p w14:paraId="31405992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Selection criteria</w:t>
        </w:r>
      </w:hyperlink>
    </w:p>
    <w:p w14:paraId="0CB90445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7" w:history="1">
        <w:r w:rsidRPr="005E3B24">
          <w:rPr>
            <w:rStyle w:val="Hyperlink"/>
            <w:i/>
            <w:lang w:val="en-US"/>
          </w:rPr>
          <w:t>Deadlines</w:t>
        </w:r>
      </w:hyperlink>
    </w:p>
    <w:p w14:paraId="30E57075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8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7C2F201D" w14:textId="74E46B0A" w:rsidR="00B2523E" w:rsidRDefault="00B2523E" w:rsidP="00B2523E">
      <w:pPr>
        <w:pStyle w:val="ListParagraph"/>
        <w:rPr>
          <w:b/>
          <w:color w:val="4967AA"/>
          <w:sz w:val="28"/>
          <w:szCs w:val="28"/>
          <w:lang w:val="en-US"/>
        </w:rPr>
      </w:pPr>
    </w:p>
    <w:p w14:paraId="7A0B6644" w14:textId="3B6D41EE" w:rsidR="00570E07" w:rsidRPr="00B2523E" w:rsidRDefault="00570E07" w:rsidP="00B2523E">
      <w:pPr>
        <w:pStyle w:val="ListParagraph"/>
        <w:jc w:val="center"/>
        <w:rPr>
          <w:lang w:val="en-US"/>
        </w:rPr>
      </w:pPr>
      <w:r w:rsidRPr="00B2523E">
        <w:rPr>
          <w:b/>
          <w:color w:val="4967AA"/>
          <w:sz w:val="28"/>
          <w:szCs w:val="28"/>
          <w:lang w:val="en-US"/>
        </w:rPr>
        <w:t xml:space="preserve">The </w:t>
      </w:r>
      <w:r w:rsidR="00D934B6">
        <w:rPr>
          <w:b/>
          <w:color w:val="4967AA"/>
          <w:sz w:val="28"/>
          <w:szCs w:val="28"/>
          <w:lang w:val="en-US"/>
        </w:rPr>
        <w:t>academic</w:t>
      </w:r>
      <w:r w:rsidRPr="00B2523E">
        <w:rPr>
          <w:b/>
          <w:color w:val="4967AA"/>
          <w:sz w:val="28"/>
          <w:szCs w:val="28"/>
          <w:lang w:val="en-US"/>
        </w:rPr>
        <w:t xml:space="preserve"> entry requirements are min. 30 ECTS-points in total</w:t>
      </w:r>
    </w:p>
    <w:p w14:paraId="225F41AE" w14:textId="77777777" w:rsidR="00570E07" w:rsidRPr="00570E07" w:rsidRDefault="00570E07" w:rsidP="00570E07">
      <w:pPr>
        <w:pStyle w:val="ListParagraph"/>
        <w:jc w:val="center"/>
        <w:rPr>
          <w:b/>
          <w:lang w:val="en-US"/>
        </w:rPr>
      </w:pPr>
      <w:r w:rsidRPr="00570E07">
        <w:rPr>
          <w:b/>
          <w:lang w:val="en-US"/>
        </w:rPr>
        <w:t xml:space="preserve">These 30 </w:t>
      </w:r>
      <w:proofErr w:type="gramStart"/>
      <w:r w:rsidRPr="00570E07">
        <w:rPr>
          <w:b/>
          <w:lang w:val="en-US"/>
        </w:rPr>
        <w:t>ECTS-points</w:t>
      </w:r>
      <w:proofErr w:type="gramEnd"/>
      <w:r w:rsidRPr="00570E07">
        <w:rPr>
          <w:b/>
          <w:lang w:val="en-US"/>
        </w:rPr>
        <w:t xml:space="preserve"> must be within one or more of the following areas: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2972"/>
        <w:gridCol w:w="2226"/>
        <w:gridCol w:w="2553"/>
        <w:gridCol w:w="2195"/>
      </w:tblGrid>
      <w:tr w:rsidR="00AF6D2A" w14:paraId="42C4729E" w14:textId="77777777" w:rsidTr="005A5FA7">
        <w:trPr>
          <w:trHeight w:val="649"/>
        </w:trPr>
        <w:tc>
          <w:tcPr>
            <w:tcW w:w="2972" w:type="dxa"/>
          </w:tcPr>
          <w:p w14:paraId="613E52C0" w14:textId="77777777" w:rsidR="005806BB" w:rsidRDefault="004D5B04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br w:type="page"/>
            </w:r>
          </w:p>
          <w:p w14:paraId="31C4B27C" w14:textId="3DDD8EC0" w:rsidR="00AF6D2A" w:rsidRDefault="00D934B6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  <w:p w14:paraId="3B67772B" w14:textId="2EF96C83" w:rsidR="005806BB" w:rsidRDefault="005806BB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26" w:type="dxa"/>
          </w:tcPr>
          <w:p w14:paraId="379F7B75" w14:textId="77777777" w:rsidR="005806BB" w:rsidRDefault="005806BB" w:rsidP="00140532">
            <w:pPr>
              <w:jc w:val="center"/>
              <w:rPr>
                <w:b/>
                <w:lang w:val="en-US"/>
              </w:rPr>
            </w:pPr>
          </w:p>
          <w:p w14:paraId="0B5386FD" w14:textId="6E0CB380" w:rsidR="00AF6D2A" w:rsidRDefault="0056254E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553" w:type="dxa"/>
          </w:tcPr>
          <w:p w14:paraId="2703CB27" w14:textId="77777777" w:rsidR="005806BB" w:rsidRDefault="005806BB" w:rsidP="00140532">
            <w:pPr>
              <w:jc w:val="center"/>
              <w:rPr>
                <w:b/>
                <w:lang w:val="en-US"/>
              </w:rPr>
            </w:pPr>
          </w:p>
          <w:p w14:paraId="1E6E4DA3" w14:textId="79E36ED9" w:rsidR="00AF6D2A" w:rsidRDefault="0056254E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195" w:type="dxa"/>
          </w:tcPr>
          <w:p w14:paraId="15E1A7AB" w14:textId="77777777" w:rsidR="005806BB" w:rsidRDefault="005806BB" w:rsidP="00140532">
            <w:pPr>
              <w:jc w:val="center"/>
              <w:rPr>
                <w:b/>
                <w:lang w:val="en-US"/>
              </w:rPr>
            </w:pPr>
          </w:p>
          <w:p w14:paraId="4D67BD63" w14:textId="77777777" w:rsidR="0056254E" w:rsidRDefault="0056254E" w:rsidP="005625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42333D53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4E468D" w:rsidRPr="00E22235" w14:paraId="76704C52" w14:textId="77777777" w:rsidTr="005A5FA7">
        <w:trPr>
          <w:trHeight w:val="3515"/>
        </w:trPr>
        <w:tc>
          <w:tcPr>
            <w:tcW w:w="2972" w:type="dxa"/>
          </w:tcPr>
          <w:p w14:paraId="056DEC99" w14:textId="77777777" w:rsidR="00513FC8" w:rsidRPr="00513FC8" w:rsidRDefault="00513FC8" w:rsidP="00513FC8">
            <w:pPr>
              <w:pStyle w:val="ListParagraph"/>
              <w:rPr>
                <w:i/>
                <w:lang w:val="en-US"/>
              </w:rPr>
            </w:pPr>
          </w:p>
          <w:p w14:paraId="3CB6598C" w14:textId="77777777" w:rsidR="00513FC8" w:rsidRPr="005A5FA7" w:rsidRDefault="00513FC8" w:rsidP="005A5FA7">
            <w:pPr>
              <w:rPr>
                <w:iCs/>
                <w:lang w:val="en-US"/>
              </w:rPr>
            </w:pPr>
          </w:p>
          <w:p w14:paraId="3A962D38" w14:textId="77777777" w:rsidR="00513FC8" w:rsidRPr="005A5FA7" w:rsidRDefault="00513FC8" w:rsidP="00513FC8">
            <w:pPr>
              <w:jc w:val="center"/>
              <w:rPr>
                <w:b/>
                <w:iCs/>
                <w:color w:val="4967AA"/>
                <w:lang w:val="en-US"/>
              </w:rPr>
            </w:pPr>
            <w:r w:rsidRPr="005A5FA7">
              <w:rPr>
                <w:b/>
                <w:iCs/>
                <w:color w:val="4967AA"/>
                <w:lang w:val="en-US"/>
              </w:rPr>
              <w:t>Economics</w:t>
            </w:r>
          </w:p>
          <w:p w14:paraId="03D4BA21" w14:textId="77777777" w:rsidR="005A5FA7" w:rsidRDefault="005A5FA7" w:rsidP="005A5FA7">
            <w:pPr>
              <w:rPr>
                <w:i/>
                <w:lang w:val="en-US"/>
              </w:rPr>
            </w:pPr>
          </w:p>
          <w:p w14:paraId="56288436" w14:textId="77777777" w:rsidR="005A5FA7" w:rsidRPr="005806BB" w:rsidRDefault="005A5FA7" w:rsidP="005A5FA7">
            <w:p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E</w:t>
            </w:r>
            <w:r w:rsidR="00B20B09" w:rsidRPr="005806BB">
              <w:rPr>
                <w:i/>
                <w:sz w:val="20"/>
                <w:szCs w:val="20"/>
                <w:lang w:val="en-US"/>
              </w:rPr>
              <w:t>xample</w:t>
            </w:r>
            <w:r w:rsidRPr="005806BB">
              <w:rPr>
                <w:i/>
                <w:sz w:val="20"/>
                <w:szCs w:val="20"/>
                <w:lang w:val="en-US"/>
              </w:rPr>
              <w:t>s include</w:t>
            </w:r>
            <w:r w:rsidR="00B20B09" w:rsidRPr="005806BB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2BE322D3" w14:textId="1B278510" w:rsidR="005A5FA7" w:rsidRPr="005806BB" w:rsidRDefault="00B20B09" w:rsidP="005A5FA7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Economic Theory</w:t>
            </w:r>
          </w:p>
          <w:p w14:paraId="276FCEFC" w14:textId="77777777" w:rsidR="005A5FA7" w:rsidRPr="005806BB" w:rsidRDefault="00B20B09" w:rsidP="005A5FA7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 xml:space="preserve">Micro- or </w:t>
            </w:r>
            <w:r w:rsidR="00513FC8" w:rsidRPr="005806BB">
              <w:rPr>
                <w:i/>
                <w:sz w:val="20"/>
                <w:szCs w:val="20"/>
                <w:lang w:val="en-US"/>
              </w:rPr>
              <w:t>Macroeconomics</w:t>
            </w:r>
          </w:p>
          <w:p w14:paraId="654CC8D1" w14:textId="77777777" w:rsidR="005A5FA7" w:rsidRPr="005806BB" w:rsidRDefault="00513FC8" w:rsidP="005A5FA7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International Economics</w:t>
            </w:r>
          </w:p>
          <w:p w14:paraId="2E51A39F" w14:textId="4DC0F2B6" w:rsidR="004E468D" w:rsidRPr="005A5FA7" w:rsidRDefault="00513FC8" w:rsidP="005A5FA7">
            <w:pPr>
              <w:pStyle w:val="ListParagraph"/>
              <w:numPr>
                <w:ilvl w:val="0"/>
                <w:numId w:val="5"/>
              </w:numPr>
              <w:rPr>
                <w:i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Monetary Economics</w:t>
            </w:r>
          </w:p>
        </w:tc>
        <w:tc>
          <w:tcPr>
            <w:tcW w:w="2226" w:type="dxa"/>
          </w:tcPr>
          <w:p w14:paraId="0CFEE248" w14:textId="77777777" w:rsidR="004E468D" w:rsidRDefault="004E468D" w:rsidP="00AA0F37">
            <w:pPr>
              <w:rPr>
                <w:b/>
                <w:lang w:val="en-US"/>
              </w:rPr>
            </w:pPr>
          </w:p>
        </w:tc>
        <w:tc>
          <w:tcPr>
            <w:tcW w:w="2553" w:type="dxa"/>
          </w:tcPr>
          <w:p w14:paraId="293B9DA1" w14:textId="77777777" w:rsidR="004E468D" w:rsidRDefault="004E468D" w:rsidP="00AA0F37">
            <w:pPr>
              <w:rPr>
                <w:b/>
                <w:lang w:val="en-US"/>
              </w:rPr>
            </w:pPr>
          </w:p>
        </w:tc>
        <w:tc>
          <w:tcPr>
            <w:tcW w:w="2195" w:type="dxa"/>
          </w:tcPr>
          <w:p w14:paraId="6F1AE92D" w14:textId="77777777" w:rsidR="004E468D" w:rsidRDefault="004E468D" w:rsidP="00AA0F37">
            <w:pPr>
              <w:rPr>
                <w:b/>
                <w:lang w:val="en-US"/>
              </w:rPr>
            </w:pPr>
          </w:p>
        </w:tc>
      </w:tr>
      <w:tr w:rsidR="00513FC8" w:rsidRPr="00E22235" w14:paraId="4A00C0E9" w14:textId="77777777" w:rsidTr="005A5FA7">
        <w:trPr>
          <w:trHeight w:val="3515"/>
        </w:trPr>
        <w:tc>
          <w:tcPr>
            <w:tcW w:w="2972" w:type="dxa"/>
          </w:tcPr>
          <w:p w14:paraId="4D2CD20F" w14:textId="77777777" w:rsidR="00513FC8" w:rsidRPr="00513FC8" w:rsidRDefault="00513FC8" w:rsidP="00513FC8">
            <w:pPr>
              <w:pStyle w:val="ListParagraph"/>
              <w:rPr>
                <w:i/>
                <w:lang w:val="en-US"/>
              </w:rPr>
            </w:pPr>
          </w:p>
          <w:p w14:paraId="65113D84" w14:textId="77777777" w:rsidR="00513FC8" w:rsidRPr="005A5FA7" w:rsidRDefault="00513FC8" w:rsidP="005A5FA7">
            <w:pPr>
              <w:rPr>
                <w:iCs/>
                <w:color w:val="4967AA"/>
                <w:lang w:val="en-US"/>
              </w:rPr>
            </w:pPr>
          </w:p>
          <w:p w14:paraId="6171CD1D" w14:textId="77777777" w:rsidR="00513FC8" w:rsidRPr="005A5FA7" w:rsidRDefault="00513FC8" w:rsidP="00513FC8">
            <w:pPr>
              <w:jc w:val="center"/>
              <w:rPr>
                <w:b/>
                <w:iCs/>
                <w:color w:val="4967AA"/>
                <w:lang w:val="en-US"/>
              </w:rPr>
            </w:pPr>
            <w:r w:rsidRPr="005A5FA7">
              <w:rPr>
                <w:b/>
                <w:iCs/>
                <w:color w:val="4967AA"/>
                <w:lang w:val="en-US"/>
              </w:rPr>
              <w:t>Quantitative Methods</w:t>
            </w:r>
          </w:p>
          <w:p w14:paraId="7195F065" w14:textId="77777777" w:rsidR="005A5FA7" w:rsidRDefault="005A5FA7" w:rsidP="00513FC8">
            <w:pPr>
              <w:jc w:val="center"/>
              <w:rPr>
                <w:i/>
                <w:lang w:val="en-US"/>
              </w:rPr>
            </w:pPr>
          </w:p>
          <w:p w14:paraId="5F8B9FDD" w14:textId="77777777" w:rsidR="005A5FA7" w:rsidRPr="005806BB" w:rsidRDefault="005A5FA7" w:rsidP="005A5FA7">
            <w:p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E</w:t>
            </w:r>
            <w:r w:rsidR="00513FC8" w:rsidRPr="005806BB">
              <w:rPr>
                <w:i/>
                <w:sz w:val="20"/>
                <w:szCs w:val="20"/>
                <w:lang w:val="en-US"/>
              </w:rPr>
              <w:t>xample</w:t>
            </w:r>
            <w:r w:rsidRPr="005806BB">
              <w:rPr>
                <w:i/>
                <w:sz w:val="20"/>
                <w:szCs w:val="20"/>
                <w:lang w:val="en-US"/>
              </w:rPr>
              <w:t>s include</w:t>
            </w:r>
            <w:r w:rsidR="00513FC8" w:rsidRPr="005806BB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0D50AD0E" w14:textId="77777777" w:rsidR="005A5FA7" w:rsidRPr="005806BB" w:rsidRDefault="00513FC8" w:rsidP="005A5FA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Statistics</w:t>
            </w:r>
          </w:p>
          <w:p w14:paraId="046183D7" w14:textId="77777777" w:rsidR="005A5FA7" w:rsidRPr="005806BB" w:rsidRDefault="00513FC8" w:rsidP="005A5FA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Econometrics</w:t>
            </w:r>
          </w:p>
          <w:p w14:paraId="65D6BB68" w14:textId="2C0B85E1" w:rsidR="00513FC8" w:rsidRPr="005A5FA7" w:rsidRDefault="00513FC8" w:rsidP="005A5FA7">
            <w:pPr>
              <w:pStyle w:val="ListParagraph"/>
              <w:numPr>
                <w:ilvl w:val="0"/>
                <w:numId w:val="6"/>
              </w:numPr>
              <w:rPr>
                <w:i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2226" w:type="dxa"/>
          </w:tcPr>
          <w:p w14:paraId="79E077DE" w14:textId="77777777" w:rsidR="00513FC8" w:rsidRDefault="00513FC8" w:rsidP="00AA0F37">
            <w:pPr>
              <w:rPr>
                <w:b/>
                <w:lang w:val="en-US"/>
              </w:rPr>
            </w:pPr>
          </w:p>
        </w:tc>
        <w:tc>
          <w:tcPr>
            <w:tcW w:w="2553" w:type="dxa"/>
          </w:tcPr>
          <w:p w14:paraId="33637FDA" w14:textId="77777777" w:rsidR="00513FC8" w:rsidRDefault="00513FC8" w:rsidP="00AA0F37">
            <w:pPr>
              <w:rPr>
                <w:b/>
                <w:lang w:val="en-US"/>
              </w:rPr>
            </w:pPr>
          </w:p>
        </w:tc>
        <w:tc>
          <w:tcPr>
            <w:tcW w:w="2195" w:type="dxa"/>
          </w:tcPr>
          <w:p w14:paraId="0B2C9FF2" w14:textId="77777777" w:rsidR="00513FC8" w:rsidRDefault="00513FC8" w:rsidP="00AA0F37">
            <w:pPr>
              <w:rPr>
                <w:b/>
                <w:lang w:val="en-US"/>
              </w:rPr>
            </w:pPr>
          </w:p>
        </w:tc>
      </w:tr>
      <w:tr w:rsidR="00513FC8" w:rsidRPr="00E22235" w14:paraId="6A065847" w14:textId="77777777" w:rsidTr="005A5FA7">
        <w:trPr>
          <w:trHeight w:val="3515"/>
        </w:trPr>
        <w:tc>
          <w:tcPr>
            <w:tcW w:w="2972" w:type="dxa"/>
          </w:tcPr>
          <w:p w14:paraId="19F574C0" w14:textId="77777777" w:rsidR="00513FC8" w:rsidRPr="00513FC8" w:rsidRDefault="00513FC8" w:rsidP="00513FC8">
            <w:pPr>
              <w:jc w:val="center"/>
              <w:rPr>
                <w:i/>
                <w:lang w:val="en-US"/>
              </w:rPr>
            </w:pPr>
          </w:p>
          <w:p w14:paraId="7513E783" w14:textId="77777777" w:rsidR="00513FC8" w:rsidRPr="00513FC8" w:rsidRDefault="00513FC8" w:rsidP="005A5FA7">
            <w:pPr>
              <w:rPr>
                <w:i/>
                <w:lang w:val="en-US"/>
              </w:rPr>
            </w:pPr>
          </w:p>
          <w:p w14:paraId="17A59051" w14:textId="77777777" w:rsidR="00513FC8" w:rsidRPr="005A5FA7" w:rsidRDefault="00513FC8" w:rsidP="00513FC8">
            <w:pPr>
              <w:jc w:val="center"/>
              <w:rPr>
                <w:b/>
                <w:iCs/>
                <w:color w:val="4967AA"/>
                <w:lang w:val="en-US"/>
              </w:rPr>
            </w:pPr>
            <w:r w:rsidRPr="005A5FA7">
              <w:rPr>
                <w:b/>
                <w:iCs/>
                <w:color w:val="4967AA"/>
                <w:lang w:val="en-US"/>
              </w:rPr>
              <w:t>Finance</w:t>
            </w:r>
          </w:p>
          <w:p w14:paraId="033E4BAE" w14:textId="77777777" w:rsidR="005A5FA7" w:rsidRDefault="005A5FA7" w:rsidP="00513FC8">
            <w:pPr>
              <w:jc w:val="center"/>
              <w:rPr>
                <w:i/>
                <w:lang w:val="en-US"/>
              </w:rPr>
            </w:pPr>
          </w:p>
          <w:p w14:paraId="14E381BC" w14:textId="77777777" w:rsidR="005A5FA7" w:rsidRPr="005806BB" w:rsidRDefault="005A5FA7" w:rsidP="005A5FA7">
            <w:p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E</w:t>
            </w:r>
            <w:r w:rsidR="00513FC8" w:rsidRPr="005806BB">
              <w:rPr>
                <w:i/>
                <w:sz w:val="20"/>
                <w:szCs w:val="20"/>
                <w:lang w:val="en-US"/>
              </w:rPr>
              <w:t>xample</w:t>
            </w:r>
            <w:r w:rsidRPr="005806BB">
              <w:rPr>
                <w:i/>
                <w:sz w:val="20"/>
                <w:szCs w:val="20"/>
                <w:lang w:val="en-US"/>
              </w:rPr>
              <w:t>s include</w:t>
            </w:r>
            <w:r w:rsidR="00513FC8" w:rsidRPr="005806BB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5859C40E" w14:textId="77777777" w:rsidR="005A5FA7" w:rsidRPr="005806BB" w:rsidRDefault="00513FC8" w:rsidP="005A5FA7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Corporate Finance</w:t>
            </w:r>
          </w:p>
          <w:p w14:paraId="3330961F" w14:textId="77777777" w:rsidR="005A5FA7" w:rsidRPr="005806BB" w:rsidRDefault="00513FC8" w:rsidP="005A5FA7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Investment Analysis</w:t>
            </w:r>
          </w:p>
          <w:p w14:paraId="1295A58E" w14:textId="77777777" w:rsidR="005A5FA7" w:rsidRPr="005806BB" w:rsidRDefault="00513FC8" w:rsidP="005A5FA7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International Finance</w:t>
            </w:r>
          </w:p>
          <w:p w14:paraId="459E337D" w14:textId="11FCF176" w:rsidR="00513FC8" w:rsidRPr="005A5FA7" w:rsidRDefault="00513FC8" w:rsidP="005A5FA7">
            <w:pPr>
              <w:pStyle w:val="ListParagraph"/>
              <w:numPr>
                <w:ilvl w:val="0"/>
                <w:numId w:val="7"/>
              </w:numPr>
              <w:rPr>
                <w:i/>
                <w:lang w:val="en-US"/>
              </w:rPr>
            </w:pPr>
            <w:r w:rsidRPr="005806BB">
              <w:rPr>
                <w:i/>
                <w:sz w:val="20"/>
                <w:szCs w:val="20"/>
                <w:lang w:val="en-US"/>
              </w:rPr>
              <w:t>Derivatives</w:t>
            </w:r>
          </w:p>
        </w:tc>
        <w:tc>
          <w:tcPr>
            <w:tcW w:w="2226" w:type="dxa"/>
          </w:tcPr>
          <w:p w14:paraId="612A27DD" w14:textId="77777777" w:rsidR="00513FC8" w:rsidRDefault="00513FC8" w:rsidP="00AA0F37">
            <w:pPr>
              <w:rPr>
                <w:b/>
                <w:lang w:val="en-US"/>
              </w:rPr>
            </w:pPr>
          </w:p>
        </w:tc>
        <w:tc>
          <w:tcPr>
            <w:tcW w:w="2553" w:type="dxa"/>
          </w:tcPr>
          <w:p w14:paraId="294820E1" w14:textId="77777777" w:rsidR="00513FC8" w:rsidRDefault="00513FC8" w:rsidP="00AA0F37">
            <w:pPr>
              <w:rPr>
                <w:b/>
                <w:lang w:val="en-US"/>
              </w:rPr>
            </w:pPr>
          </w:p>
        </w:tc>
        <w:tc>
          <w:tcPr>
            <w:tcW w:w="2195" w:type="dxa"/>
          </w:tcPr>
          <w:p w14:paraId="4F22182D" w14:textId="77777777" w:rsidR="00513FC8" w:rsidRDefault="00513FC8" w:rsidP="00AA0F37">
            <w:pPr>
              <w:rPr>
                <w:b/>
                <w:lang w:val="en-US"/>
              </w:rPr>
            </w:pPr>
          </w:p>
        </w:tc>
      </w:tr>
    </w:tbl>
    <w:p w14:paraId="07819EC2" w14:textId="44E6B873" w:rsidR="00A45EDF" w:rsidRPr="00A45EDF" w:rsidRDefault="00A45EDF" w:rsidP="00A45EDF">
      <w:pPr>
        <w:rPr>
          <w:b/>
          <w:lang w:val="en-US"/>
        </w:rPr>
      </w:pPr>
    </w:p>
    <w:sectPr w:rsidR="00A45EDF" w:rsidRPr="00A45E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236F"/>
    <w:multiLevelType w:val="hybridMultilevel"/>
    <w:tmpl w:val="0E60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245A"/>
    <w:multiLevelType w:val="hybridMultilevel"/>
    <w:tmpl w:val="A9BE52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B348A"/>
    <w:multiLevelType w:val="hybridMultilevel"/>
    <w:tmpl w:val="BCAEE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B7966"/>
    <w:multiLevelType w:val="hybridMultilevel"/>
    <w:tmpl w:val="D6C8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228116">
    <w:abstractNumId w:val="4"/>
  </w:num>
  <w:num w:numId="2" w16cid:durableId="99765444">
    <w:abstractNumId w:val="5"/>
  </w:num>
  <w:num w:numId="3" w16cid:durableId="1885363729">
    <w:abstractNumId w:val="0"/>
  </w:num>
  <w:num w:numId="4" w16cid:durableId="1425685583">
    <w:abstractNumId w:val="2"/>
  </w:num>
  <w:num w:numId="5" w16cid:durableId="1023632767">
    <w:abstractNumId w:val="6"/>
  </w:num>
  <w:num w:numId="6" w16cid:durableId="884412454">
    <w:abstractNumId w:val="3"/>
  </w:num>
  <w:num w:numId="7" w16cid:durableId="178037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101459"/>
    <w:rsid w:val="00140532"/>
    <w:rsid w:val="00261ECD"/>
    <w:rsid w:val="002731F0"/>
    <w:rsid w:val="003223A3"/>
    <w:rsid w:val="004D5B04"/>
    <w:rsid w:val="004E468D"/>
    <w:rsid w:val="00513FC8"/>
    <w:rsid w:val="00517EF6"/>
    <w:rsid w:val="0056254E"/>
    <w:rsid w:val="00570E07"/>
    <w:rsid w:val="005806BB"/>
    <w:rsid w:val="005A5FA7"/>
    <w:rsid w:val="005C606C"/>
    <w:rsid w:val="005E3B24"/>
    <w:rsid w:val="00694034"/>
    <w:rsid w:val="006B61A3"/>
    <w:rsid w:val="006B7540"/>
    <w:rsid w:val="00762ED7"/>
    <w:rsid w:val="00786ECE"/>
    <w:rsid w:val="007A628B"/>
    <w:rsid w:val="007F6CC6"/>
    <w:rsid w:val="00856844"/>
    <w:rsid w:val="009A4019"/>
    <w:rsid w:val="009A4B48"/>
    <w:rsid w:val="009E5227"/>
    <w:rsid w:val="00A45EDF"/>
    <w:rsid w:val="00AA0F37"/>
    <w:rsid w:val="00AF6D2A"/>
    <w:rsid w:val="00B2016F"/>
    <w:rsid w:val="00B20B09"/>
    <w:rsid w:val="00B22FFE"/>
    <w:rsid w:val="00B2523E"/>
    <w:rsid w:val="00C64E78"/>
    <w:rsid w:val="00CD459C"/>
    <w:rsid w:val="00D934B6"/>
    <w:rsid w:val="00DF04DE"/>
    <w:rsid w:val="00E22235"/>
    <w:rsid w:val="00E26733"/>
    <w:rsid w:val="00F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F1BD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dk/en/study/graduate/admission/how-to-apply/documentation-graduate-ad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s.dk/en/study/graduate/admission/dead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candoecon-msc-in-advanced-economics-and-finance/admission" TargetMode="External"/><Relationship Id="rId5" Type="http://schemas.openxmlformats.org/officeDocument/2006/relationships/hyperlink" Target="https://www.cbs.dk/en/study/graduate/candoecon-msc-in-advanced-economics-and-finance/ad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2025-11-10T12:42:00Z</dcterms:created>
  <dcterms:modified xsi:type="dcterms:W3CDTF">2025-11-10T12:42:00Z</dcterms:modified>
</cp:coreProperties>
</file>